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D1BE" w14:textId="77777777" w:rsidR="00F333F7" w:rsidRPr="00370835" w:rsidRDefault="00000000">
      <w:pPr>
        <w:spacing w:before="480" w:after="120"/>
        <w:jc w:val="center"/>
      </w:pPr>
      <w:r w:rsidRPr="00370835">
        <w:rPr>
          <w:b/>
          <w:bCs/>
          <w:sz w:val="32"/>
          <w:szCs w:val="32"/>
        </w:rPr>
        <w:t>ОПИСАНИЕ ПРОЦЕССОВ, ОБЕСПЕЧИВАЮЩИХ</w:t>
      </w:r>
    </w:p>
    <w:p w14:paraId="6DB92B08" w14:textId="77777777" w:rsidR="00F333F7" w:rsidRPr="00370835" w:rsidRDefault="00000000">
      <w:pPr>
        <w:spacing w:after="80"/>
        <w:jc w:val="center"/>
      </w:pPr>
      <w:r w:rsidRPr="00370835">
        <w:rPr>
          <w:b/>
          <w:bCs/>
          <w:sz w:val="32"/>
          <w:szCs w:val="32"/>
        </w:rPr>
        <w:t>ПОДДЕРЖАНИЕ ЖИЗНЕННОГО ЦИКЛА</w:t>
      </w:r>
    </w:p>
    <w:p w14:paraId="73B4B6E8" w14:textId="77777777" w:rsidR="00F333F7" w:rsidRPr="00370835" w:rsidRDefault="00000000">
      <w:pPr>
        <w:spacing w:after="80"/>
        <w:jc w:val="center"/>
      </w:pPr>
      <w:r w:rsidRPr="00370835">
        <w:rPr>
          <w:b/>
          <w:bCs/>
          <w:sz w:val="28"/>
          <w:szCs w:val="28"/>
        </w:rPr>
        <w:t>ПРОГРАММНОГО ОБЕСПЕЧЕНИЯ</w:t>
      </w:r>
    </w:p>
    <w:p w14:paraId="76D9DCC9" w14:textId="0FF10FF5" w:rsidR="00F333F7" w:rsidRPr="00370835" w:rsidRDefault="00466FF2">
      <w:pPr>
        <w:spacing w:after="480"/>
        <w:jc w:val="center"/>
      </w:pPr>
      <w:r w:rsidRPr="00370835">
        <w:rPr>
          <w:b/>
          <w:bCs/>
          <w:sz w:val="28"/>
          <w:szCs w:val="28"/>
          <w:lang w:val="en-US"/>
        </w:rPr>
        <w:t>ER</w:t>
      </w:r>
      <w:r w:rsidRPr="00370835">
        <w:rPr>
          <w:b/>
          <w:bCs/>
          <w:sz w:val="28"/>
          <w:szCs w:val="28"/>
        </w:rPr>
        <w:t xml:space="preserve"> </w:t>
      </w:r>
      <w:r w:rsidRPr="00370835">
        <w:rPr>
          <w:b/>
          <w:bCs/>
          <w:sz w:val="28"/>
          <w:szCs w:val="28"/>
          <w:lang w:val="en-US"/>
        </w:rPr>
        <w:t>Connect</w:t>
      </w:r>
    </w:p>
    <w:p w14:paraId="1EF80AA0" w14:textId="77777777" w:rsidR="00F333F7" w:rsidRPr="00370835" w:rsidRDefault="00000000">
      <w:pPr>
        <w:pStyle w:val="1"/>
        <w:rPr>
          <w:color w:val="auto"/>
        </w:rPr>
      </w:pPr>
      <w:r w:rsidRPr="00370835">
        <w:rPr>
          <w:color w:val="auto"/>
        </w:rPr>
        <w:t>1. Общие положения</w:t>
      </w:r>
    </w:p>
    <w:p w14:paraId="2CBC5C7D" w14:textId="2D9B315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 xml:space="preserve">Настоящий документ разработан в соответствии с требованиями к документации, представляемой для включения программного обеспечения в единый реестр российских программ для электронных вычислительных машин и баз данных (далее — Реестр), и содержит описание процессов, обеспечивающих поддержание жизненного цикла программного обеспечения </w:t>
      </w:r>
      <w:r w:rsidR="00466FF2" w:rsidRPr="00370835">
        <w:rPr>
          <w:lang w:val="en-US"/>
        </w:rPr>
        <w:t>ER</w:t>
      </w:r>
      <w:r w:rsidR="00466FF2" w:rsidRPr="00370835">
        <w:t xml:space="preserve"> </w:t>
      </w:r>
      <w:r w:rsidR="00466FF2" w:rsidRPr="00370835">
        <w:rPr>
          <w:lang w:val="en-US"/>
        </w:rPr>
        <w:t>Connect</w:t>
      </w:r>
      <w:r w:rsidRPr="00370835">
        <w:t xml:space="preserve"> (далее — ПО).</w:t>
      </w:r>
    </w:p>
    <w:p w14:paraId="5135025F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Документ регламентирует: порядок выявления и устранения неисправностей ПО в ходе его эксплуатации, процессы развития и совершенствования ПО, а также состав и квалификацию персонала, обеспечивающего поддержку.</w:t>
      </w:r>
    </w:p>
    <w:p w14:paraId="79A8E3FB" w14:textId="77777777" w:rsidR="00F333F7" w:rsidRPr="00370835" w:rsidRDefault="00F333F7">
      <w:pPr>
        <w:spacing w:before="60" w:after="60"/>
      </w:pPr>
    </w:p>
    <w:p w14:paraId="5F3EFC7B" w14:textId="77777777" w:rsidR="00F333F7" w:rsidRPr="00370835" w:rsidRDefault="00000000">
      <w:pPr>
        <w:pStyle w:val="1"/>
        <w:rPr>
          <w:color w:val="auto"/>
        </w:rPr>
      </w:pPr>
      <w:r w:rsidRPr="00370835">
        <w:rPr>
          <w:color w:val="auto"/>
        </w:rPr>
        <w:t>2. Модели развёртывания программного обеспечения</w:t>
      </w:r>
    </w:p>
    <w:p w14:paraId="0E68F4E5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Программное обеспечение предоставляется пользователям в двух моделях развёртывания:</w:t>
      </w:r>
    </w:p>
    <w:p w14:paraId="6B87B27B" w14:textId="77777777" w:rsidR="00F333F7" w:rsidRPr="00370835" w:rsidRDefault="00F333F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380"/>
        <w:gridCol w:w="3780"/>
      </w:tblGrid>
      <w:tr w:rsidR="00370835" w:rsidRPr="00370835" w14:paraId="44666E88" w14:textId="77777777" w:rsidTr="00370835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708DA" w14:textId="77777777" w:rsidR="00F333F7" w:rsidRPr="00370835" w:rsidRDefault="00000000">
            <w:r w:rsidRPr="0037083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3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B69E4" w14:textId="77777777" w:rsidR="00F333F7" w:rsidRPr="00370835" w:rsidRDefault="00000000">
            <w:r w:rsidRPr="00370835">
              <w:rPr>
                <w:b/>
                <w:bCs/>
                <w:sz w:val="22"/>
                <w:szCs w:val="22"/>
              </w:rPr>
              <w:t>Серверное размещение (</w:t>
            </w:r>
            <w:proofErr w:type="spellStart"/>
            <w:r w:rsidRPr="00370835">
              <w:rPr>
                <w:b/>
                <w:bCs/>
                <w:sz w:val="22"/>
                <w:szCs w:val="22"/>
              </w:rPr>
              <w:t>SaaS</w:t>
            </w:r>
            <w:proofErr w:type="spellEnd"/>
            <w:r w:rsidRPr="0037083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7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A0960" w14:textId="77777777" w:rsidR="00F333F7" w:rsidRPr="00370835" w:rsidRDefault="00000000">
            <w:r w:rsidRPr="00370835">
              <w:rPr>
                <w:b/>
                <w:bCs/>
                <w:sz w:val="22"/>
                <w:szCs w:val="22"/>
              </w:rPr>
              <w:t>Локальное размещение (On-</w:t>
            </w:r>
            <w:proofErr w:type="spellStart"/>
            <w:r w:rsidRPr="00370835">
              <w:rPr>
                <w:b/>
                <w:bCs/>
                <w:sz w:val="22"/>
                <w:szCs w:val="22"/>
              </w:rPr>
              <w:t>Premise</w:t>
            </w:r>
            <w:proofErr w:type="spellEnd"/>
            <w:r w:rsidRPr="0037083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70835" w:rsidRPr="00370835" w14:paraId="4FBD77A3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B3C43" w14:textId="77777777" w:rsidR="00F333F7" w:rsidRPr="00370835" w:rsidRDefault="00000000">
            <w:r w:rsidRPr="00370835">
              <w:rPr>
                <w:sz w:val="22"/>
                <w:szCs w:val="22"/>
              </w:rPr>
              <w:t>Описание</w:t>
            </w:r>
          </w:p>
        </w:tc>
        <w:tc>
          <w:tcPr>
            <w:tcW w:w="3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39C8C" w14:textId="77777777" w:rsidR="00F333F7" w:rsidRPr="00370835" w:rsidRDefault="00000000">
            <w:r w:rsidRPr="00370835">
              <w:rPr>
                <w:sz w:val="22"/>
                <w:szCs w:val="22"/>
              </w:rPr>
              <w:t>ПО размещается на серверах правообладателя и предоставляется пользователям по подписке через сеть Интернет без необходимости установки</w:t>
            </w:r>
          </w:p>
        </w:tc>
        <w:tc>
          <w:tcPr>
            <w:tcW w:w="37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98843" w14:textId="77777777" w:rsidR="00F333F7" w:rsidRPr="00370835" w:rsidRDefault="00000000">
            <w:r w:rsidRPr="00370835">
              <w:rPr>
                <w:sz w:val="22"/>
                <w:szCs w:val="22"/>
              </w:rPr>
              <w:t>ПО устанавливается на серверную инфраструктуру пользователя; пользователь самостоятельно администрирует систему</w:t>
            </w:r>
          </w:p>
        </w:tc>
      </w:tr>
      <w:tr w:rsidR="00370835" w:rsidRPr="00370835" w14:paraId="57FA4479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38773" w14:textId="77777777" w:rsidR="00F333F7" w:rsidRPr="00370835" w:rsidRDefault="00000000">
            <w:r w:rsidRPr="00370835">
              <w:rPr>
                <w:sz w:val="22"/>
                <w:szCs w:val="22"/>
              </w:rPr>
              <w:t>Ответственность за инфраструктуру</w:t>
            </w:r>
          </w:p>
        </w:tc>
        <w:tc>
          <w:tcPr>
            <w:tcW w:w="3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01B72" w14:textId="77777777" w:rsidR="00F333F7" w:rsidRPr="00370835" w:rsidRDefault="00000000">
            <w:r w:rsidRPr="00370835">
              <w:rPr>
                <w:sz w:val="22"/>
                <w:szCs w:val="22"/>
              </w:rPr>
              <w:t>Правообладатель</w:t>
            </w:r>
          </w:p>
        </w:tc>
        <w:tc>
          <w:tcPr>
            <w:tcW w:w="37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9C7FF" w14:textId="77777777" w:rsidR="00F333F7" w:rsidRPr="00370835" w:rsidRDefault="00000000">
            <w:r w:rsidRPr="00370835">
              <w:rPr>
                <w:sz w:val="22"/>
                <w:szCs w:val="22"/>
              </w:rPr>
              <w:t>Пользователь</w:t>
            </w:r>
          </w:p>
        </w:tc>
      </w:tr>
      <w:tr w:rsidR="00370835" w:rsidRPr="00370835" w14:paraId="57E4CD04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1B0B2" w14:textId="77777777" w:rsidR="00F333F7" w:rsidRPr="00370835" w:rsidRDefault="00000000">
            <w:r w:rsidRPr="00370835">
              <w:rPr>
                <w:sz w:val="22"/>
                <w:szCs w:val="22"/>
              </w:rPr>
              <w:t>Обновления ПО</w:t>
            </w:r>
          </w:p>
        </w:tc>
        <w:tc>
          <w:tcPr>
            <w:tcW w:w="3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4753B" w14:textId="77777777" w:rsidR="00F333F7" w:rsidRPr="00370835" w:rsidRDefault="00000000">
            <w:r w:rsidRPr="00370835">
              <w:rPr>
                <w:sz w:val="22"/>
                <w:szCs w:val="22"/>
              </w:rPr>
              <w:t>Устанавливаются правообладателем автоматически без участия пользователя</w:t>
            </w:r>
          </w:p>
        </w:tc>
        <w:tc>
          <w:tcPr>
            <w:tcW w:w="37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226BC" w14:textId="77777777" w:rsidR="00F333F7" w:rsidRPr="00370835" w:rsidRDefault="00000000">
            <w:r w:rsidRPr="00370835">
              <w:rPr>
                <w:sz w:val="22"/>
                <w:szCs w:val="22"/>
              </w:rPr>
              <w:t>Предоставляются правообладателем; устанавливаются пользователем</w:t>
            </w:r>
          </w:p>
        </w:tc>
      </w:tr>
      <w:tr w:rsidR="00F333F7" w:rsidRPr="00370835" w14:paraId="5BB567F5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A00AB" w14:textId="77777777" w:rsidR="00F333F7" w:rsidRPr="00370835" w:rsidRDefault="00000000">
            <w:r w:rsidRPr="00370835">
              <w:rPr>
                <w:sz w:val="22"/>
                <w:szCs w:val="22"/>
              </w:rPr>
              <w:t>Доступ пользователей</w:t>
            </w:r>
          </w:p>
        </w:tc>
        <w:tc>
          <w:tcPr>
            <w:tcW w:w="3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8A7BE" w14:textId="77777777" w:rsidR="00F333F7" w:rsidRPr="00370835" w:rsidRDefault="00000000">
            <w:r w:rsidRPr="00370835">
              <w:rPr>
                <w:sz w:val="22"/>
                <w:szCs w:val="22"/>
              </w:rPr>
              <w:t>Через веб-браузер по защищённому каналу (HTTPS)</w:t>
            </w:r>
          </w:p>
        </w:tc>
        <w:tc>
          <w:tcPr>
            <w:tcW w:w="37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7F52C" w14:textId="77777777" w:rsidR="00F333F7" w:rsidRPr="00370835" w:rsidRDefault="00000000">
            <w:r w:rsidRPr="00370835">
              <w:rPr>
                <w:sz w:val="22"/>
                <w:szCs w:val="22"/>
              </w:rPr>
              <w:t>Через веб-браузер в локальной сети или через Интернет</w:t>
            </w:r>
          </w:p>
        </w:tc>
      </w:tr>
    </w:tbl>
    <w:p w14:paraId="59620D13" w14:textId="77777777" w:rsidR="00F333F7" w:rsidRPr="00370835" w:rsidRDefault="00F333F7">
      <w:pPr>
        <w:spacing w:before="60" w:after="60"/>
      </w:pPr>
    </w:p>
    <w:p w14:paraId="219C8166" w14:textId="77777777" w:rsidR="00F333F7" w:rsidRPr="00370835" w:rsidRDefault="00000000">
      <w:pPr>
        <w:pStyle w:val="1"/>
        <w:rPr>
          <w:color w:val="auto"/>
        </w:rPr>
      </w:pPr>
      <w:r w:rsidRPr="00370835">
        <w:rPr>
          <w:color w:val="auto"/>
        </w:rPr>
        <w:lastRenderedPageBreak/>
        <w:t>3. Процессы выявления и устранения неисправностей</w:t>
      </w:r>
    </w:p>
    <w:p w14:paraId="0C1CE453" w14:textId="77777777" w:rsidR="00F333F7" w:rsidRPr="00370835" w:rsidRDefault="00000000">
      <w:pPr>
        <w:pStyle w:val="2"/>
        <w:rPr>
          <w:color w:val="auto"/>
        </w:rPr>
      </w:pPr>
      <w:r w:rsidRPr="00370835">
        <w:rPr>
          <w:color w:val="auto"/>
        </w:rPr>
        <w:t>3.1. Классификация неисправностей</w:t>
      </w:r>
    </w:p>
    <w:p w14:paraId="4B6FF574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Все неисправности (инциденты), выявляемые в ходе эксплуатации ПО, классифицируются по степени критичности:</w:t>
      </w:r>
    </w:p>
    <w:p w14:paraId="212850EA" w14:textId="77777777" w:rsidR="00F333F7" w:rsidRPr="00370835" w:rsidRDefault="00F333F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200"/>
        <w:gridCol w:w="2560"/>
        <w:gridCol w:w="3000"/>
      </w:tblGrid>
      <w:tr w:rsidR="00370835" w:rsidRPr="00370835" w14:paraId="0440427E" w14:textId="77777777" w:rsidTr="00370835"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4D875" w14:textId="77777777" w:rsidR="00F333F7" w:rsidRPr="00370835" w:rsidRDefault="00000000">
            <w:r w:rsidRPr="00370835">
              <w:rPr>
                <w:b/>
                <w:bCs/>
                <w:sz w:val="21"/>
                <w:szCs w:val="21"/>
              </w:rPr>
              <w:t>Приоритет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0C3DE" w14:textId="77777777" w:rsidR="00F333F7" w:rsidRPr="00370835" w:rsidRDefault="00000000">
            <w:r w:rsidRPr="00370835">
              <w:rPr>
                <w:b/>
                <w:bCs/>
                <w:sz w:val="21"/>
                <w:szCs w:val="21"/>
              </w:rPr>
              <w:t>Тип</w:t>
            </w:r>
          </w:p>
        </w:tc>
        <w:tc>
          <w:tcPr>
            <w:tcW w:w="2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6DA70" w14:textId="77777777" w:rsidR="00F333F7" w:rsidRPr="00370835" w:rsidRDefault="00000000">
            <w:r w:rsidRPr="00370835">
              <w:rPr>
                <w:b/>
                <w:bCs/>
                <w:sz w:val="21"/>
                <w:szCs w:val="21"/>
              </w:rPr>
              <w:t>Описание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6DCC4" w14:textId="77777777" w:rsidR="00F333F7" w:rsidRPr="00370835" w:rsidRDefault="00000000">
            <w:r w:rsidRPr="00370835">
              <w:rPr>
                <w:b/>
                <w:bCs/>
                <w:sz w:val="21"/>
                <w:szCs w:val="21"/>
              </w:rPr>
              <w:t>Срок реакции / устранения</w:t>
            </w:r>
          </w:p>
        </w:tc>
      </w:tr>
      <w:tr w:rsidR="00370835" w:rsidRPr="00370835" w14:paraId="05690A6C" w14:textId="77777777"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395D8" w14:textId="77777777" w:rsidR="00F333F7" w:rsidRPr="00370835" w:rsidRDefault="00000000">
            <w:r w:rsidRPr="00370835">
              <w:rPr>
                <w:sz w:val="21"/>
                <w:szCs w:val="21"/>
              </w:rPr>
              <w:t>Критический (P1)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8508B" w14:textId="77777777" w:rsidR="00F333F7" w:rsidRPr="00370835" w:rsidRDefault="00000000">
            <w:r w:rsidRPr="00370835">
              <w:rPr>
                <w:sz w:val="21"/>
                <w:szCs w:val="21"/>
              </w:rPr>
              <w:t>Блокирующий сбой</w:t>
            </w:r>
          </w:p>
        </w:tc>
        <w:tc>
          <w:tcPr>
            <w:tcW w:w="2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6AC81" w14:textId="77777777" w:rsidR="00F333F7" w:rsidRPr="00370835" w:rsidRDefault="00000000">
            <w:r w:rsidRPr="00370835">
              <w:rPr>
                <w:sz w:val="21"/>
                <w:szCs w:val="21"/>
              </w:rPr>
              <w:t>ПО полностью недоступно или ключевые функции не работают для всех пользователей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499B2" w14:textId="77777777" w:rsidR="00F333F7" w:rsidRPr="00370835" w:rsidRDefault="00000000">
            <w:r w:rsidRPr="00370835">
              <w:rPr>
                <w:sz w:val="21"/>
                <w:szCs w:val="21"/>
              </w:rPr>
              <w:t>Реакция: 2 ч. Устранение: 24 ч.</w:t>
            </w:r>
          </w:p>
        </w:tc>
      </w:tr>
      <w:tr w:rsidR="00370835" w:rsidRPr="00370835" w14:paraId="0777A7C5" w14:textId="77777777"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19306" w14:textId="77777777" w:rsidR="00F333F7" w:rsidRPr="00370835" w:rsidRDefault="00000000">
            <w:r w:rsidRPr="00370835">
              <w:rPr>
                <w:sz w:val="21"/>
                <w:szCs w:val="21"/>
              </w:rPr>
              <w:t>Высокий (P2)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21318" w14:textId="77777777" w:rsidR="00F333F7" w:rsidRPr="00370835" w:rsidRDefault="00000000">
            <w:r w:rsidRPr="00370835">
              <w:rPr>
                <w:sz w:val="21"/>
                <w:szCs w:val="21"/>
              </w:rPr>
              <w:t>Существенная неисправность</w:t>
            </w:r>
          </w:p>
        </w:tc>
        <w:tc>
          <w:tcPr>
            <w:tcW w:w="2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31EE3" w14:textId="77777777" w:rsidR="00F333F7" w:rsidRPr="00370835" w:rsidRDefault="00000000">
            <w:r w:rsidRPr="00370835">
              <w:rPr>
                <w:sz w:val="21"/>
                <w:szCs w:val="21"/>
              </w:rPr>
              <w:t>Часть функциональности недоступна, но обходной путь существует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4D9E3" w14:textId="77777777" w:rsidR="00F333F7" w:rsidRPr="00370835" w:rsidRDefault="00000000">
            <w:r w:rsidRPr="00370835">
              <w:rPr>
                <w:sz w:val="21"/>
                <w:szCs w:val="21"/>
              </w:rPr>
              <w:t>Реакция: 4 ч. Устранение: 3 раб. дня</w:t>
            </w:r>
          </w:p>
        </w:tc>
      </w:tr>
      <w:tr w:rsidR="00370835" w:rsidRPr="00370835" w14:paraId="4E59FCB3" w14:textId="77777777"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BDCED" w14:textId="77777777" w:rsidR="00F333F7" w:rsidRPr="00370835" w:rsidRDefault="00000000">
            <w:r w:rsidRPr="00370835">
              <w:rPr>
                <w:sz w:val="21"/>
                <w:szCs w:val="21"/>
              </w:rPr>
              <w:t>Средний (P3)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737F5" w14:textId="77777777" w:rsidR="00F333F7" w:rsidRPr="00370835" w:rsidRDefault="00000000">
            <w:r w:rsidRPr="00370835">
              <w:rPr>
                <w:sz w:val="21"/>
                <w:szCs w:val="21"/>
              </w:rPr>
              <w:t>Ошибка функционирования</w:t>
            </w:r>
          </w:p>
        </w:tc>
        <w:tc>
          <w:tcPr>
            <w:tcW w:w="2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A6CE5" w14:textId="77777777" w:rsidR="00F333F7" w:rsidRPr="00370835" w:rsidRDefault="00000000">
            <w:r w:rsidRPr="00370835">
              <w:rPr>
                <w:sz w:val="21"/>
                <w:szCs w:val="21"/>
              </w:rPr>
              <w:t>Некорректная работа отдельных функций без блокировки основной деятельности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0848D" w14:textId="77777777" w:rsidR="00F333F7" w:rsidRPr="00370835" w:rsidRDefault="00000000">
            <w:r w:rsidRPr="00370835">
              <w:rPr>
                <w:sz w:val="21"/>
                <w:szCs w:val="21"/>
              </w:rPr>
              <w:t>Реакция: 8 ч. Устранение: 10 раб. дней</w:t>
            </w:r>
          </w:p>
        </w:tc>
      </w:tr>
      <w:tr w:rsidR="00F333F7" w:rsidRPr="00370835" w14:paraId="660801AE" w14:textId="77777777"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032F2" w14:textId="77777777" w:rsidR="00F333F7" w:rsidRPr="00370835" w:rsidRDefault="00000000">
            <w:r w:rsidRPr="00370835">
              <w:rPr>
                <w:sz w:val="21"/>
                <w:szCs w:val="21"/>
              </w:rPr>
              <w:t>Низкий (P4)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F5889" w14:textId="77777777" w:rsidR="00F333F7" w:rsidRPr="00370835" w:rsidRDefault="00000000">
            <w:r w:rsidRPr="00370835">
              <w:rPr>
                <w:sz w:val="21"/>
                <w:szCs w:val="21"/>
              </w:rPr>
              <w:t>Незначительный дефект</w:t>
            </w:r>
          </w:p>
        </w:tc>
        <w:tc>
          <w:tcPr>
            <w:tcW w:w="2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46BE4" w14:textId="77777777" w:rsidR="00F333F7" w:rsidRPr="00370835" w:rsidRDefault="00000000">
            <w:r w:rsidRPr="00370835">
              <w:rPr>
                <w:sz w:val="21"/>
                <w:szCs w:val="21"/>
              </w:rPr>
              <w:t>Косметические ошибки интерфейса, пожелания по улучшению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BE7C9" w14:textId="77777777" w:rsidR="00F333F7" w:rsidRPr="00370835" w:rsidRDefault="00000000">
            <w:r w:rsidRPr="00370835">
              <w:rPr>
                <w:sz w:val="21"/>
                <w:szCs w:val="21"/>
              </w:rPr>
              <w:t>Реакция: 2 раб. дня. Устранение: в плановом релизе</w:t>
            </w:r>
          </w:p>
        </w:tc>
      </w:tr>
    </w:tbl>
    <w:p w14:paraId="5C354D1F" w14:textId="77777777" w:rsidR="00F333F7" w:rsidRPr="00370835" w:rsidRDefault="00F333F7">
      <w:pPr>
        <w:spacing w:before="60" w:after="60"/>
      </w:pPr>
    </w:p>
    <w:p w14:paraId="03DC8119" w14:textId="77777777" w:rsidR="00F333F7" w:rsidRPr="00370835" w:rsidRDefault="00000000">
      <w:pPr>
        <w:pStyle w:val="2"/>
        <w:rPr>
          <w:color w:val="auto"/>
        </w:rPr>
      </w:pPr>
      <w:r w:rsidRPr="00370835">
        <w:rPr>
          <w:color w:val="auto"/>
        </w:rPr>
        <w:t>3.2. Каналы приёма обращений</w:t>
      </w:r>
    </w:p>
    <w:p w14:paraId="3D513F99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Пользователи ПО могут сообщать об обнаруженных неисправностях следующими способами:</w:t>
      </w:r>
    </w:p>
    <w:p w14:paraId="7101AE2A" w14:textId="486C7C9C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 xml:space="preserve">по электронной почте: </w:t>
      </w:r>
      <w:hyperlink r:id="rId5" w:history="1">
        <w:r w:rsidR="00C17471" w:rsidRPr="00370835">
          <w:rPr>
            <w:rStyle w:val="a5"/>
            <w:color w:val="auto"/>
          </w:rPr>
          <w:t>service@eriskip.ru</w:t>
        </w:r>
      </w:hyperlink>
      <w:r w:rsidRPr="00370835">
        <w:t xml:space="preserve"> — основной канал, доступен круглосуточно; ответ в течение установленного времени реакции в рабочие часы;</w:t>
      </w:r>
    </w:p>
    <w:p w14:paraId="68837C70" w14:textId="4A925B7B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 xml:space="preserve">по телефону: </w:t>
      </w:r>
      <w:r w:rsidR="00C17471" w:rsidRPr="00370835">
        <w:t> </w:t>
      </w:r>
      <w:hyperlink r:id="rId6" w:history="1">
        <w:r w:rsidR="00C17471" w:rsidRPr="00370835">
          <w:rPr>
            <w:rStyle w:val="a5"/>
            <w:color w:val="auto"/>
          </w:rPr>
          <w:t>8-800-55-00-715</w:t>
        </w:r>
      </w:hyperlink>
      <w:r w:rsidRPr="00370835">
        <w:t xml:space="preserve">— в рабочие дни с </w:t>
      </w:r>
      <w:r w:rsidR="00C17471" w:rsidRPr="00370835">
        <w:t>6:00</w:t>
      </w:r>
      <w:r w:rsidRPr="00370835">
        <w:t xml:space="preserve"> до </w:t>
      </w:r>
      <w:r w:rsidR="00466FF2" w:rsidRPr="00370835">
        <w:t>15:00</w:t>
      </w:r>
      <w:r w:rsidRPr="00370835">
        <w:t xml:space="preserve"> по московскому времени.</w:t>
      </w:r>
    </w:p>
    <w:p w14:paraId="1749C635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При обращении пользователь указывает: наименование организации, контактные данные, описание неисправности, последовательность действий, приводящих к ошибке, скриншоты или иные материалы, подтверждающие факт неисправности, а также модель развёртывания ПО (серверное/локальное).</w:t>
      </w:r>
    </w:p>
    <w:p w14:paraId="044599DA" w14:textId="77777777" w:rsidR="00F333F7" w:rsidRPr="00370835" w:rsidRDefault="00F333F7">
      <w:pPr>
        <w:spacing w:before="60" w:after="60"/>
      </w:pPr>
    </w:p>
    <w:p w14:paraId="7D2BF551" w14:textId="77777777" w:rsidR="00F333F7" w:rsidRPr="00370835" w:rsidRDefault="00000000">
      <w:pPr>
        <w:pStyle w:val="2"/>
        <w:rPr>
          <w:color w:val="auto"/>
        </w:rPr>
      </w:pPr>
      <w:r w:rsidRPr="00370835">
        <w:rPr>
          <w:color w:val="auto"/>
        </w:rPr>
        <w:t>3.3. Порядок обработки и устранения неисправностей</w:t>
      </w:r>
    </w:p>
    <w:p w14:paraId="1A6F1C50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Процесс обработки инцидента включает следующие этапы:</w:t>
      </w:r>
    </w:p>
    <w:p w14:paraId="339DF484" w14:textId="77777777" w:rsidR="00F333F7" w:rsidRPr="00370835" w:rsidRDefault="00000000">
      <w:pPr>
        <w:pStyle w:val="a4"/>
        <w:numPr>
          <w:ilvl w:val="0"/>
          <w:numId w:val="3"/>
        </w:numPr>
        <w:spacing w:before="40" w:after="40" w:line="340" w:lineRule="auto"/>
      </w:pPr>
      <w:r w:rsidRPr="00370835">
        <w:lastRenderedPageBreak/>
        <w:t>Регистрация обращения. Специалист технической поддержки фиксирует обращение, присваивает ему уникальный номер и подтверждает его получение пользователю.</w:t>
      </w:r>
    </w:p>
    <w:p w14:paraId="4DBA426B" w14:textId="77777777" w:rsidR="00F333F7" w:rsidRPr="00370835" w:rsidRDefault="00000000">
      <w:pPr>
        <w:pStyle w:val="a4"/>
        <w:numPr>
          <w:ilvl w:val="0"/>
          <w:numId w:val="3"/>
        </w:numPr>
        <w:spacing w:before="40" w:after="40" w:line="340" w:lineRule="auto"/>
      </w:pPr>
      <w:r w:rsidRPr="00370835">
        <w:t>Первичная диагностика и классификация. Специалист оценивает критичность, воспроизводит проблему в тестовой среде и присваивает приоритет.</w:t>
      </w:r>
    </w:p>
    <w:p w14:paraId="7D92F43C" w14:textId="77777777" w:rsidR="00F333F7" w:rsidRPr="00370835" w:rsidRDefault="00000000">
      <w:pPr>
        <w:pStyle w:val="a4"/>
        <w:numPr>
          <w:ilvl w:val="0"/>
          <w:numId w:val="3"/>
        </w:numPr>
        <w:spacing w:before="40" w:after="40" w:line="340" w:lineRule="auto"/>
      </w:pPr>
      <w:r w:rsidRPr="00370835">
        <w:t>Эскалация (при необходимости). Если неисправность не устраняется на уровне технической поддержки, обращение передаётся разработчикам ПО.</w:t>
      </w:r>
    </w:p>
    <w:p w14:paraId="09B09B2F" w14:textId="77777777" w:rsidR="00F333F7" w:rsidRPr="00370835" w:rsidRDefault="00000000">
      <w:pPr>
        <w:pStyle w:val="a4"/>
        <w:numPr>
          <w:ilvl w:val="0"/>
          <w:numId w:val="3"/>
        </w:numPr>
        <w:spacing w:before="40" w:after="40" w:line="340" w:lineRule="auto"/>
      </w:pPr>
      <w:r w:rsidRPr="00370835">
        <w:t>Разработка и тестирование исправления. Разработчики выявляют причину неисправности, разрабатывают и тестируют исправление во внутренней тестовой среде.</w:t>
      </w:r>
    </w:p>
    <w:p w14:paraId="573E1770" w14:textId="77777777" w:rsidR="00F333F7" w:rsidRPr="00370835" w:rsidRDefault="00000000">
      <w:pPr>
        <w:pStyle w:val="a4"/>
        <w:numPr>
          <w:ilvl w:val="0"/>
          <w:numId w:val="3"/>
        </w:numPr>
        <w:spacing w:before="40" w:after="40" w:line="340" w:lineRule="auto"/>
      </w:pPr>
      <w:r w:rsidRPr="00370835">
        <w:t xml:space="preserve">Выпуск исправления. Для серверного размещения — применение исправления на </w:t>
      </w:r>
      <w:proofErr w:type="spellStart"/>
      <w:r w:rsidRPr="00370835">
        <w:t>production</w:t>
      </w:r>
      <w:proofErr w:type="spellEnd"/>
      <w:r w:rsidRPr="00370835">
        <w:t>-сервере без участия пользователя. Для локального размещения — предоставление пользователю обновлённого дистрибутива или патча с инструкцией по установке.</w:t>
      </w:r>
    </w:p>
    <w:p w14:paraId="04161AD4" w14:textId="77777777" w:rsidR="00F333F7" w:rsidRPr="00370835" w:rsidRDefault="00000000">
      <w:pPr>
        <w:pStyle w:val="a4"/>
        <w:numPr>
          <w:ilvl w:val="0"/>
          <w:numId w:val="3"/>
        </w:numPr>
        <w:spacing w:before="40" w:after="40" w:line="340" w:lineRule="auto"/>
      </w:pPr>
      <w:r w:rsidRPr="00370835">
        <w:t>Закрытие инцидента. Специалист подтверждает устранение неисправности у пользователя и закрывает обращение.</w:t>
      </w:r>
    </w:p>
    <w:p w14:paraId="5F0FE326" w14:textId="77777777" w:rsidR="00F333F7" w:rsidRPr="00370835" w:rsidRDefault="00F333F7">
      <w:pPr>
        <w:spacing w:before="60" w:after="60"/>
      </w:pPr>
    </w:p>
    <w:p w14:paraId="7F8A021E" w14:textId="77777777" w:rsidR="00F333F7" w:rsidRPr="00370835" w:rsidRDefault="00000000">
      <w:pPr>
        <w:pStyle w:val="2"/>
        <w:rPr>
          <w:color w:val="auto"/>
        </w:rPr>
      </w:pPr>
      <w:r w:rsidRPr="00370835">
        <w:rPr>
          <w:color w:val="auto"/>
        </w:rPr>
        <w:t>3.4. Особенности для модели локального размещения</w:t>
      </w:r>
    </w:p>
    <w:p w14:paraId="6C802684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При локальном развёртывании ПО пользователь несёт ответственность за работоспособность серверной инфраструктуры. В случае неисправностей, связанных с настройкой окружения (операционная система, веб-сервер, СУБД), специалисты технической поддержки правообладателя оказывают консультативную помощь.</w:t>
      </w:r>
    </w:p>
    <w:p w14:paraId="0B528C45" w14:textId="0244BB8C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 xml:space="preserve">Исправления программного кода предоставляются пользователю в виде обновлённых файлов или архива с дистрибутивом через </w:t>
      </w:r>
      <w:r w:rsidR="00C17471" w:rsidRPr="00370835">
        <w:t>любой удобный способ пользователя</w:t>
      </w:r>
      <w:r w:rsidRPr="00370835">
        <w:t xml:space="preserve"> с сопроводительной инструкцией.</w:t>
      </w:r>
    </w:p>
    <w:p w14:paraId="78DBDF59" w14:textId="77777777" w:rsidR="00F333F7" w:rsidRPr="00370835" w:rsidRDefault="00F333F7">
      <w:pPr>
        <w:spacing w:before="60" w:after="60"/>
      </w:pPr>
    </w:p>
    <w:p w14:paraId="26144096" w14:textId="77777777" w:rsidR="00F333F7" w:rsidRPr="00370835" w:rsidRDefault="00000000">
      <w:pPr>
        <w:pStyle w:val="1"/>
        <w:rPr>
          <w:color w:val="auto"/>
        </w:rPr>
      </w:pPr>
      <w:r w:rsidRPr="00370835">
        <w:rPr>
          <w:color w:val="auto"/>
        </w:rPr>
        <w:t>4. Процессы совершенствования программного обеспечения</w:t>
      </w:r>
    </w:p>
    <w:p w14:paraId="71FE79A7" w14:textId="77777777" w:rsidR="00F333F7" w:rsidRPr="00370835" w:rsidRDefault="00000000">
      <w:pPr>
        <w:pStyle w:val="2"/>
        <w:rPr>
          <w:color w:val="auto"/>
        </w:rPr>
      </w:pPr>
      <w:r w:rsidRPr="00370835">
        <w:rPr>
          <w:color w:val="auto"/>
        </w:rPr>
        <w:t>4.1. Планирование развития ПО</w:t>
      </w:r>
    </w:p>
    <w:p w14:paraId="4A8E0097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Совершенствование ПО осуществляется на плановой основе в соответствии с дорожной картой развития продукта. Источниками для формирования плана развития являются:</w:t>
      </w:r>
    </w:p>
    <w:p w14:paraId="44B983B0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обращения пользователей с запросами на новые функции или улучшения;</w:t>
      </w:r>
    </w:p>
    <w:p w14:paraId="1BFDC0D2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lastRenderedPageBreak/>
        <w:t>результаты внутреннего тестирования и аудита кода;</w:t>
      </w:r>
    </w:p>
    <w:p w14:paraId="70DAEF82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изменения законодательства Российской Федерации, требующие адаптации функциональности;</w:t>
      </w:r>
    </w:p>
    <w:p w14:paraId="1A234969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технологические обновления используемых компонентов и библиотек;</w:t>
      </w:r>
    </w:p>
    <w:p w14:paraId="56C40C4C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анализ конкурентной среды и лучших практик отрасли.</w:t>
      </w:r>
    </w:p>
    <w:p w14:paraId="3A18A091" w14:textId="77777777" w:rsidR="00F333F7" w:rsidRPr="00370835" w:rsidRDefault="00F333F7">
      <w:pPr>
        <w:spacing w:before="60" w:after="60"/>
      </w:pPr>
    </w:p>
    <w:p w14:paraId="5DD4B629" w14:textId="77777777" w:rsidR="00F333F7" w:rsidRPr="00370835" w:rsidRDefault="00000000">
      <w:pPr>
        <w:pStyle w:val="2"/>
        <w:rPr>
          <w:color w:val="auto"/>
        </w:rPr>
      </w:pPr>
      <w:r w:rsidRPr="00370835">
        <w:rPr>
          <w:color w:val="auto"/>
        </w:rPr>
        <w:t>4.2. Жизненный цикл разработки</w:t>
      </w:r>
    </w:p>
    <w:p w14:paraId="445D3AC8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Разработка новых версий ПО ведётся по итеративной модели и включает следующие стадии:</w:t>
      </w:r>
    </w:p>
    <w:p w14:paraId="47A4D61C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сбор и анализ требований, постановка задач разработчикам;</w:t>
      </w:r>
    </w:p>
    <w:p w14:paraId="19B6C6A4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проектирование архитектурных изменений и новых функций;</w:t>
      </w:r>
    </w:p>
    <w:p w14:paraId="13EF4C96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разработка программного кода;</w:t>
      </w:r>
    </w:p>
    <w:p w14:paraId="5E59C326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внутреннее тестирование (модульное, интеграционное, нагрузочное);</w:t>
      </w:r>
    </w:p>
    <w:p w14:paraId="34A06C89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приёмочное тестирование и проверка совместимости;</w:t>
      </w:r>
    </w:p>
    <w:p w14:paraId="0970948C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выпуск релиза и обновление документации;</w:t>
      </w:r>
    </w:p>
    <w:p w14:paraId="3EFF6AFE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развёртывание новой версии.</w:t>
      </w:r>
    </w:p>
    <w:p w14:paraId="67B86B96" w14:textId="77777777" w:rsidR="00F333F7" w:rsidRPr="00370835" w:rsidRDefault="00F333F7">
      <w:pPr>
        <w:spacing w:before="60" w:after="60"/>
      </w:pPr>
    </w:p>
    <w:p w14:paraId="2904471D" w14:textId="77777777" w:rsidR="00F333F7" w:rsidRPr="00370835" w:rsidRDefault="00000000">
      <w:pPr>
        <w:pStyle w:val="2"/>
        <w:rPr>
          <w:color w:val="auto"/>
        </w:rPr>
      </w:pPr>
      <w:r w:rsidRPr="00370835">
        <w:rPr>
          <w:color w:val="auto"/>
        </w:rPr>
        <w:t xml:space="preserve">4.3. Политика </w:t>
      </w:r>
      <w:proofErr w:type="spellStart"/>
      <w:r w:rsidRPr="00370835">
        <w:rPr>
          <w:color w:val="auto"/>
        </w:rPr>
        <w:t>версионирования</w:t>
      </w:r>
      <w:proofErr w:type="spellEnd"/>
    </w:p>
    <w:p w14:paraId="2428F369" w14:textId="77777777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 xml:space="preserve">Программное обеспечение придерживается следующей схемы </w:t>
      </w:r>
      <w:proofErr w:type="spellStart"/>
      <w:r w:rsidRPr="00370835">
        <w:t>версионирования</w:t>
      </w:r>
      <w:proofErr w:type="spellEnd"/>
      <w:r w:rsidRPr="00370835">
        <w:t>: МАЖОРНАЯ.МИНОРНАЯ.ПАТЧ, где:</w:t>
      </w:r>
    </w:p>
    <w:p w14:paraId="520ECEBF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мажорная версия — изменения, несовместимые с предыдущей версией по интерфейсу или данным;</w:t>
      </w:r>
    </w:p>
    <w:p w14:paraId="1D1E59CB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минорная версия — добавление новой функциональности с сохранением обратной совместимости;</w:t>
      </w:r>
    </w:p>
    <w:p w14:paraId="30678382" w14:textId="77777777" w:rsidR="00F333F7" w:rsidRPr="00370835" w:rsidRDefault="00000000">
      <w:pPr>
        <w:pStyle w:val="a4"/>
        <w:numPr>
          <w:ilvl w:val="0"/>
          <w:numId w:val="2"/>
        </w:numPr>
        <w:spacing w:before="40" w:after="40" w:line="340" w:lineRule="auto"/>
      </w:pPr>
      <w:r w:rsidRPr="00370835">
        <w:t>патч — исправление ошибок без изменения функциональности.</w:t>
      </w:r>
    </w:p>
    <w:p w14:paraId="0E2CE600" w14:textId="77777777" w:rsidR="00F333F7" w:rsidRPr="00370835" w:rsidRDefault="00F333F7">
      <w:pPr>
        <w:spacing w:before="60" w:after="60"/>
      </w:pPr>
    </w:p>
    <w:p w14:paraId="6B804452" w14:textId="77777777" w:rsidR="00F333F7" w:rsidRPr="00370835" w:rsidRDefault="00000000">
      <w:pPr>
        <w:pStyle w:val="2"/>
        <w:rPr>
          <w:color w:val="auto"/>
        </w:rPr>
      </w:pPr>
      <w:r w:rsidRPr="00370835">
        <w:rPr>
          <w:color w:val="auto"/>
        </w:rPr>
        <w:t>4.4. Порядок доставки обновлений</w:t>
      </w:r>
    </w:p>
    <w:p w14:paraId="32C9F214" w14:textId="4970C8F4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t>Для модели серверного размещения: обновления устанавливаются правообладателем на серверную инфраструктуру в согласованное с пользователями время (в ночные часы или в выходные дни) с предварительным уведомлением пользователей не менее чем за 24 часа. Время недоступности сервиса в период обновления минимизируется за счёт применения стратегии сине-зелёного развёртывания или аналогичных подходов.</w:t>
      </w:r>
    </w:p>
    <w:p w14:paraId="0858BF83" w14:textId="52578D8D" w:rsidR="00F333F7" w:rsidRPr="00370835" w:rsidRDefault="00000000">
      <w:pPr>
        <w:spacing w:before="60" w:after="60" w:line="360" w:lineRule="auto"/>
        <w:ind w:firstLine="720"/>
        <w:jc w:val="both"/>
      </w:pPr>
      <w:r w:rsidRPr="00370835">
        <w:lastRenderedPageBreak/>
        <w:t>Для модели локального размещения: обновления предоставляются пользователю в виде дистрибутива новой версии через официальный сайт правообладателя или иной согласованный канал. В комплект обновления включается инструкция по установке, описание изменений и при необходимости — скрипты миграции базы данных.</w:t>
      </w:r>
    </w:p>
    <w:p w14:paraId="4FB7BAB0" w14:textId="77777777" w:rsidR="00F333F7" w:rsidRPr="00370835" w:rsidRDefault="00F333F7">
      <w:pPr>
        <w:spacing w:before="60" w:after="60"/>
      </w:pPr>
    </w:p>
    <w:sectPr w:rsidR="00F333F7" w:rsidRPr="00370835"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182"/>
    <w:multiLevelType w:val="hybridMultilevel"/>
    <w:tmpl w:val="ADA2A8E4"/>
    <w:lvl w:ilvl="0" w:tplc="E4B244AA">
      <w:start w:val="1"/>
      <w:numFmt w:val="decimal"/>
      <w:lvlText w:val="%1."/>
      <w:lvlJc w:val="left"/>
      <w:pPr>
        <w:ind w:left="720" w:hanging="360"/>
      </w:pPr>
    </w:lvl>
    <w:lvl w:ilvl="1" w:tplc="A3600440">
      <w:numFmt w:val="decimal"/>
      <w:lvlText w:val=""/>
      <w:lvlJc w:val="left"/>
    </w:lvl>
    <w:lvl w:ilvl="2" w:tplc="5BD0D128">
      <w:numFmt w:val="decimal"/>
      <w:lvlText w:val=""/>
      <w:lvlJc w:val="left"/>
    </w:lvl>
    <w:lvl w:ilvl="3" w:tplc="94668E2A">
      <w:numFmt w:val="decimal"/>
      <w:lvlText w:val=""/>
      <w:lvlJc w:val="left"/>
    </w:lvl>
    <w:lvl w:ilvl="4" w:tplc="8500EFD6">
      <w:numFmt w:val="decimal"/>
      <w:lvlText w:val=""/>
      <w:lvlJc w:val="left"/>
    </w:lvl>
    <w:lvl w:ilvl="5" w:tplc="A2203224">
      <w:numFmt w:val="decimal"/>
      <w:lvlText w:val=""/>
      <w:lvlJc w:val="left"/>
    </w:lvl>
    <w:lvl w:ilvl="6" w:tplc="D536FCCE">
      <w:numFmt w:val="decimal"/>
      <w:lvlText w:val=""/>
      <w:lvlJc w:val="left"/>
    </w:lvl>
    <w:lvl w:ilvl="7" w:tplc="2654EA50">
      <w:numFmt w:val="decimal"/>
      <w:lvlText w:val=""/>
      <w:lvlJc w:val="left"/>
    </w:lvl>
    <w:lvl w:ilvl="8" w:tplc="AC248EB6">
      <w:numFmt w:val="decimal"/>
      <w:lvlText w:val=""/>
      <w:lvlJc w:val="left"/>
    </w:lvl>
  </w:abstractNum>
  <w:abstractNum w:abstractNumId="1" w15:restartNumberingAfterBreak="0">
    <w:nsid w:val="232B6AD8"/>
    <w:multiLevelType w:val="hybridMultilevel"/>
    <w:tmpl w:val="63BC8A3C"/>
    <w:lvl w:ilvl="0" w:tplc="AB8A4F26">
      <w:start w:val="1"/>
      <w:numFmt w:val="bullet"/>
      <w:lvlText w:val="●"/>
      <w:lvlJc w:val="left"/>
      <w:pPr>
        <w:ind w:left="720" w:hanging="360"/>
      </w:pPr>
    </w:lvl>
    <w:lvl w:ilvl="1" w:tplc="CE424CFE">
      <w:start w:val="1"/>
      <w:numFmt w:val="bullet"/>
      <w:lvlText w:val="○"/>
      <w:lvlJc w:val="left"/>
      <w:pPr>
        <w:ind w:left="1440" w:hanging="360"/>
      </w:pPr>
    </w:lvl>
    <w:lvl w:ilvl="2" w:tplc="0366C4C4">
      <w:start w:val="1"/>
      <w:numFmt w:val="bullet"/>
      <w:lvlText w:val="■"/>
      <w:lvlJc w:val="left"/>
      <w:pPr>
        <w:ind w:left="2160" w:hanging="360"/>
      </w:pPr>
    </w:lvl>
    <w:lvl w:ilvl="3" w:tplc="35403FF2">
      <w:start w:val="1"/>
      <w:numFmt w:val="bullet"/>
      <w:lvlText w:val="●"/>
      <w:lvlJc w:val="left"/>
      <w:pPr>
        <w:ind w:left="2880" w:hanging="360"/>
      </w:pPr>
    </w:lvl>
    <w:lvl w:ilvl="4" w:tplc="A0E2AE64">
      <w:start w:val="1"/>
      <w:numFmt w:val="bullet"/>
      <w:lvlText w:val="○"/>
      <w:lvlJc w:val="left"/>
      <w:pPr>
        <w:ind w:left="3600" w:hanging="360"/>
      </w:pPr>
    </w:lvl>
    <w:lvl w:ilvl="5" w:tplc="D346CEF2">
      <w:start w:val="1"/>
      <w:numFmt w:val="bullet"/>
      <w:lvlText w:val="■"/>
      <w:lvlJc w:val="left"/>
      <w:pPr>
        <w:ind w:left="4320" w:hanging="360"/>
      </w:pPr>
    </w:lvl>
    <w:lvl w:ilvl="6" w:tplc="B25E4098">
      <w:start w:val="1"/>
      <w:numFmt w:val="bullet"/>
      <w:lvlText w:val="●"/>
      <w:lvlJc w:val="left"/>
      <w:pPr>
        <w:ind w:left="5040" w:hanging="360"/>
      </w:pPr>
    </w:lvl>
    <w:lvl w:ilvl="7" w:tplc="946A4C64">
      <w:start w:val="1"/>
      <w:numFmt w:val="bullet"/>
      <w:lvlText w:val="●"/>
      <w:lvlJc w:val="left"/>
      <w:pPr>
        <w:ind w:left="5760" w:hanging="360"/>
      </w:pPr>
    </w:lvl>
    <w:lvl w:ilvl="8" w:tplc="2AAC94A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E9F2922"/>
    <w:multiLevelType w:val="hybridMultilevel"/>
    <w:tmpl w:val="92AE8D18"/>
    <w:lvl w:ilvl="0" w:tplc="7E3E759C">
      <w:start w:val="1"/>
      <w:numFmt w:val="bullet"/>
      <w:lvlText w:val="–"/>
      <w:lvlJc w:val="left"/>
      <w:pPr>
        <w:ind w:left="720" w:hanging="360"/>
      </w:pPr>
    </w:lvl>
    <w:lvl w:ilvl="1" w:tplc="71707232">
      <w:numFmt w:val="decimal"/>
      <w:lvlText w:val=""/>
      <w:lvlJc w:val="left"/>
    </w:lvl>
    <w:lvl w:ilvl="2" w:tplc="6FA6BAC2">
      <w:numFmt w:val="decimal"/>
      <w:lvlText w:val=""/>
      <w:lvlJc w:val="left"/>
    </w:lvl>
    <w:lvl w:ilvl="3" w:tplc="1AFCA52A">
      <w:numFmt w:val="decimal"/>
      <w:lvlText w:val=""/>
      <w:lvlJc w:val="left"/>
    </w:lvl>
    <w:lvl w:ilvl="4" w:tplc="A91AB874">
      <w:numFmt w:val="decimal"/>
      <w:lvlText w:val=""/>
      <w:lvlJc w:val="left"/>
    </w:lvl>
    <w:lvl w:ilvl="5" w:tplc="E79AAE46">
      <w:numFmt w:val="decimal"/>
      <w:lvlText w:val=""/>
      <w:lvlJc w:val="left"/>
    </w:lvl>
    <w:lvl w:ilvl="6" w:tplc="402A0FA0">
      <w:numFmt w:val="decimal"/>
      <w:lvlText w:val=""/>
      <w:lvlJc w:val="left"/>
    </w:lvl>
    <w:lvl w:ilvl="7" w:tplc="DFD6B2A8">
      <w:numFmt w:val="decimal"/>
      <w:lvlText w:val=""/>
      <w:lvlJc w:val="left"/>
    </w:lvl>
    <w:lvl w:ilvl="8" w:tplc="6D782E08">
      <w:numFmt w:val="decimal"/>
      <w:lvlText w:val=""/>
      <w:lvlJc w:val="left"/>
    </w:lvl>
  </w:abstractNum>
  <w:num w:numId="1" w16cid:durableId="1631784536">
    <w:abstractNumId w:val="1"/>
    <w:lvlOverride w:ilvl="0">
      <w:startOverride w:val="1"/>
    </w:lvlOverride>
  </w:num>
  <w:num w:numId="2" w16cid:durableId="1415469774">
    <w:abstractNumId w:val="2"/>
    <w:lvlOverride w:ilvl="0">
      <w:startOverride w:val="1"/>
    </w:lvlOverride>
  </w:num>
  <w:num w:numId="3" w16cid:durableId="12539778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F7"/>
    <w:rsid w:val="00370835"/>
    <w:rsid w:val="00466FF2"/>
    <w:rsid w:val="004E0888"/>
    <w:rsid w:val="00907625"/>
    <w:rsid w:val="00C17471"/>
    <w:rsid w:val="00F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C829"/>
  <w15:docId w15:val="{38B4B0CC-97F5-44A8-BB97-6F2C9A6A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160"/>
      <w:outlineLvl w:val="0"/>
    </w:pPr>
    <w:rPr>
      <w:b/>
      <w:bCs/>
      <w:color w:val="1F3864"/>
      <w:sz w:val="28"/>
      <w:szCs w:val="28"/>
    </w:rPr>
  </w:style>
  <w:style w:type="paragraph" w:styleId="2">
    <w:name w:val="heading 2"/>
    <w:uiPriority w:val="9"/>
    <w:unhideWhenUsed/>
    <w:qFormat/>
    <w:pPr>
      <w:spacing w:before="280" w:after="100"/>
      <w:outlineLvl w:val="1"/>
    </w:pPr>
    <w:rPr>
      <w:b/>
      <w:bCs/>
      <w:color w:val="2E4D8A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17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iskip.com/ru/site/88005500715" TargetMode="External"/><Relationship Id="rId5" Type="http://schemas.openxmlformats.org/officeDocument/2006/relationships/hyperlink" Target="mailto:service@eriski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service</cp:lastModifiedBy>
  <cp:revision>3</cp:revision>
  <dcterms:created xsi:type="dcterms:W3CDTF">2026-03-12T03:11:00Z</dcterms:created>
  <dcterms:modified xsi:type="dcterms:W3CDTF">2026-04-02T05:06:00Z</dcterms:modified>
</cp:coreProperties>
</file>